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B4D" w:rsidRPr="00393C2A" w:rsidRDefault="00475B4D" w:rsidP="00475B4D">
      <w:pPr>
        <w:jc w:val="center"/>
      </w:pPr>
    </w:p>
    <w:p w:rsidR="00475B4D" w:rsidRPr="00393C2A" w:rsidRDefault="00475B4D" w:rsidP="00475B4D">
      <w:pPr>
        <w:jc w:val="center"/>
      </w:pPr>
    </w:p>
    <w:p w:rsidR="00475B4D" w:rsidRPr="00393C2A" w:rsidRDefault="00475B4D" w:rsidP="00475B4D">
      <w:pPr>
        <w:jc w:val="center"/>
      </w:pPr>
    </w:p>
    <w:p w:rsidR="00475B4D" w:rsidRPr="00393C2A" w:rsidRDefault="00475B4D" w:rsidP="00475B4D">
      <w:pPr>
        <w:jc w:val="center"/>
      </w:pPr>
    </w:p>
    <w:p w:rsidR="00475B4D" w:rsidRPr="00393C2A" w:rsidRDefault="00475B4D" w:rsidP="00475B4D">
      <w:pPr>
        <w:jc w:val="center"/>
      </w:pPr>
      <w:r w:rsidRPr="00393C2A">
        <w:t>Agency Problems Between Shareholders and Management</w:t>
      </w:r>
    </w:p>
    <w:p w:rsidR="00475B4D" w:rsidRPr="00393C2A" w:rsidRDefault="00475B4D" w:rsidP="00475B4D">
      <w:pPr>
        <w:jc w:val="center"/>
      </w:pPr>
      <w:r w:rsidRPr="00393C2A">
        <w:t>Student’s Name</w:t>
      </w:r>
    </w:p>
    <w:p w:rsidR="00475B4D" w:rsidRPr="00393C2A" w:rsidRDefault="00475B4D" w:rsidP="00475B4D">
      <w:pPr>
        <w:jc w:val="center"/>
      </w:pPr>
      <w:r w:rsidRPr="00393C2A">
        <w:t>Institutional Affiliation</w:t>
      </w:r>
    </w:p>
    <w:p w:rsidR="00475B4D" w:rsidRPr="00393C2A" w:rsidRDefault="00475B4D" w:rsidP="00475B4D">
      <w:pPr>
        <w:jc w:val="center"/>
      </w:pPr>
      <w:r w:rsidRPr="00393C2A">
        <w:t>Date</w:t>
      </w:r>
    </w:p>
    <w:p w:rsidR="00475B4D" w:rsidRPr="00393C2A" w:rsidRDefault="00475B4D" w:rsidP="00475B4D"/>
    <w:p w:rsidR="00475B4D" w:rsidRPr="00393C2A" w:rsidRDefault="00475B4D" w:rsidP="00475B4D"/>
    <w:p w:rsidR="00475B4D" w:rsidRPr="00393C2A" w:rsidRDefault="00475B4D" w:rsidP="00475B4D"/>
    <w:p w:rsidR="00475B4D" w:rsidRPr="00393C2A" w:rsidRDefault="00475B4D" w:rsidP="00475B4D"/>
    <w:p w:rsidR="00475B4D" w:rsidRPr="00393C2A" w:rsidRDefault="00475B4D" w:rsidP="00475B4D"/>
    <w:p w:rsidR="00475B4D" w:rsidRPr="00393C2A" w:rsidRDefault="00475B4D" w:rsidP="00475B4D"/>
    <w:p w:rsidR="00475B4D" w:rsidRPr="00393C2A" w:rsidRDefault="00475B4D" w:rsidP="00475B4D"/>
    <w:p w:rsidR="00475B4D" w:rsidRPr="00393C2A" w:rsidRDefault="00475B4D" w:rsidP="00475B4D"/>
    <w:p w:rsidR="00475B4D" w:rsidRPr="00393C2A" w:rsidRDefault="00475B4D" w:rsidP="00475B4D"/>
    <w:p w:rsidR="00475B4D" w:rsidRPr="00393C2A" w:rsidRDefault="00475B4D" w:rsidP="00475B4D"/>
    <w:p w:rsidR="00475B4D" w:rsidRPr="00393C2A" w:rsidRDefault="00475B4D" w:rsidP="00475B4D"/>
    <w:p w:rsidR="00475B4D" w:rsidRPr="00393C2A" w:rsidRDefault="00475B4D" w:rsidP="00475B4D"/>
    <w:p w:rsidR="00475B4D" w:rsidRPr="00393C2A" w:rsidRDefault="00475B4D" w:rsidP="00475B4D"/>
    <w:p w:rsidR="00475B4D" w:rsidRPr="00393C2A" w:rsidRDefault="00475B4D" w:rsidP="00475B4D"/>
    <w:p w:rsidR="00FF42BE" w:rsidRDefault="00FF42BE" w:rsidP="00F913C2">
      <w:pPr>
        <w:contextualSpacing/>
        <w:jc w:val="center"/>
      </w:pPr>
    </w:p>
    <w:sdt>
      <w:sdtPr>
        <w:rPr>
          <w:rFonts w:ascii="Times New Roman" w:eastAsiaTheme="minorHAnsi" w:hAnsi="Times New Roman" w:cs="Times New Roman"/>
          <w:color w:val="auto"/>
          <w:sz w:val="24"/>
          <w:szCs w:val="24"/>
        </w:rPr>
        <w:id w:val="783168"/>
        <w:docPartObj>
          <w:docPartGallery w:val="Table of Contents"/>
          <w:docPartUnique/>
        </w:docPartObj>
      </w:sdtPr>
      <w:sdtEndPr>
        <w:rPr>
          <w:b/>
          <w:bCs/>
          <w:noProof/>
        </w:rPr>
      </w:sdtEndPr>
      <w:sdtContent>
        <w:p w:rsidR="00FF42BE" w:rsidRDefault="00FF42BE">
          <w:pPr>
            <w:pStyle w:val="TOCHeading"/>
          </w:pPr>
          <w:r>
            <w:t>Table of Contents</w:t>
          </w:r>
        </w:p>
        <w:p w:rsidR="00FF42BE" w:rsidRDefault="00955D58">
          <w:pPr>
            <w:pStyle w:val="TOC1"/>
            <w:tabs>
              <w:tab w:val="right" w:leader="dot" w:pos="9350"/>
            </w:tabs>
            <w:rPr>
              <w:noProof/>
            </w:rPr>
          </w:pPr>
          <w:r w:rsidRPr="00955D58">
            <w:fldChar w:fldCharType="begin"/>
          </w:r>
          <w:r w:rsidR="00FF42BE">
            <w:instrText xml:space="preserve"> TOC \o "1-3" \h \z \u </w:instrText>
          </w:r>
          <w:r w:rsidRPr="00955D58">
            <w:fldChar w:fldCharType="separate"/>
          </w:r>
          <w:hyperlink w:anchor="_Toc20287314" w:history="1">
            <w:r w:rsidR="00FF42BE" w:rsidRPr="00F24339">
              <w:rPr>
                <w:rStyle w:val="Hyperlink"/>
                <w:noProof/>
              </w:rPr>
              <w:t>Outline</w:t>
            </w:r>
            <w:r w:rsidR="00FF42BE">
              <w:rPr>
                <w:noProof/>
                <w:webHidden/>
              </w:rPr>
              <w:tab/>
            </w:r>
            <w:r w:rsidR="00C921BB">
              <w:rPr>
                <w:noProof/>
                <w:webHidden/>
              </w:rPr>
              <w:t>3</w:t>
            </w:r>
          </w:hyperlink>
        </w:p>
        <w:p w:rsidR="00FF42BE" w:rsidRDefault="00955D58">
          <w:pPr>
            <w:pStyle w:val="TOC1"/>
            <w:tabs>
              <w:tab w:val="right" w:leader="dot" w:pos="9350"/>
            </w:tabs>
            <w:rPr>
              <w:noProof/>
            </w:rPr>
          </w:pPr>
          <w:hyperlink w:anchor="_Toc20287315" w:history="1">
            <w:r w:rsidR="00FF42BE" w:rsidRPr="00F24339">
              <w:rPr>
                <w:rStyle w:val="Hyperlink"/>
                <w:noProof/>
              </w:rPr>
              <w:t>Introduction</w:t>
            </w:r>
            <w:r w:rsidR="00FF42BE">
              <w:rPr>
                <w:noProof/>
                <w:webHidden/>
              </w:rPr>
              <w:tab/>
            </w:r>
            <w:r w:rsidR="00C921BB">
              <w:rPr>
                <w:noProof/>
                <w:webHidden/>
              </w:rPr>
              <w:t>4</w:t>
            </w:r>
          </w:hyperlink>
        </w:p>
        <w:p w:rsidR="00FF42BE" w:rsidRDefault="00955D58">
          <w:pPr>
            <w:pStyle w:val="TOC1"/>
            <w:tabs>
              <w:tab w:val="right" w:leader="dot" w:pos="9350"/>
            </w:tabs>
            <w:rPr>
              <w:noProof/>
            </w:rPr>
          </w:pPr>
          <w:hyperlink w:anchor="_Toc20287316" w:history="1">
            <w:r w:rsidR="00FF42BE" w:rsidRPr="00F24339">
              <w:rPr>
                <w:rStyle w:val="Hyperlink"/>
                <w:noProof/>
              </w:rPr>
              <w:t>Management Risk Assessment</w:t>
            </w:r>
            <w:r w:rsidR="00FF42BE">
              <w:rPr>
                <w:noProof/>
                <w:webHidden/>
              </w:rPr>
              <w:tab/>
            </w:r>
            <w:r w:rsidR="00C921BB">
              <w:rPr>
                <w:noProof/>
                <w:webHidden/>
              </w:rPr>
              <w:t>4</w:t>
            </w:r>
          </w:hyperlink>
        </w:p>
        <w:p w:rsidR="00FF42BE" w:rsidRDefault="00955D58">
          <w:pPr>
            <w:pStyle w:val="TOC1"/>
            <w:tabs>
              <w:tab w:val="right" w:leader="dot" w:pos="9350"/>
            </w:tabs>
            <w:rPr>
              <w:noProof/>
            </w:rPr>
          </w:pPr>
          <w:hyperlink w:anchor="_Toc20287317" w:history="1">
            <w:r w:rsidR="00FF42BE" w:rsidRPr="00F24339">
              <w:rPr>
                <w:rStyle w:val="Hyperlink"/>
                <w:noProof/>
              </w:rPr>
              <w:t>Returns for Shareholders</w:t>
            </w:r>
            <w:r w:rsidR="00FF42BE">
              <w:rPr>
                <w:noProof/>
                <w:webHidden/>
              </w:rPr>
              <w:tab/>
            </w:r>
            <w:r w:rsidR="00C921BB">
              <w:rPr>
                <w:noProof/>
                <w:webHidden/>
              </w:rPr>
              <w:t>5</w:t>
            </w:r>
          </w:hyperlink>
        </w:p>
        <w:p w:rsidR="00FF42BE" w:rsidRDefault="00955D58">
          <w:pPr>
            <w:pStyle w:val="TOC1"/>
            <w:tabs>
              <w:tab w:val="right" w:leader="dot" w:pos="9350"/>
            </w:tabs>
            <w:rPr>
              <w:noProof/>
            </w:rPr>
          </w:pPr>
          <w:hyperlink w:anchor="_Toc20287318" w:history="1">
            <w:r w:rsidR="00FF42BE" w:rsidRPr="00F24339">
              <w:rPr>
                <w:rStyle w:val="Hyperlink"/>
                <w:noProof/>
              </w:rPr>
              <w:t>Control of Debt and Equity</w:t>
            </w:r>
            <w:r w:rsidR="00FF42BE">
              <w:rPr>
                <w:noProof/>
                <w:webHidden/>
              </w:rPr>
              <w:tab/>
            </w:r>
            <w:r w:rsidR="00373C35">
              <w:rPr>
                <w:noProof/>
                <w:webHidden/>
              </w:rPr>
              <w:t>6</w:t>
            </w:r>
          </w:hyperlink>
        </w:p>
        <w:p w:rsidR="00FF42BE" w:rsidRDefault="00955D58">
          <w:pPr>
            <w:pStyle w:val="TOC1"/>
            <w:tabs>
              <w:tab w:val="right" w:leader="dot" w:pos="9350"/>
            </w:tabs>
            <w:rPr>
              <w:noProof/>
            </w:rPr>
          </w:pPr>
          <w:hyperlink w:anchor="_Toc20287319" w:history="1">
            <w:r w:rsidR="00FF42BE" w:rsidRPr="00F24339">
              <w:rPr>
                <w:rStyle w:val="Hyperlink"/>
                <w:noProof/>
              </w:rPr>
              <w:t>Capital and Debt</w:t>
            </w:r>
            <w:r w:rsidR="00FF42BE">
              <w:rPr>
                <w:noProof/>
                <w:webHidden/>
              </w:rPr>
              <w:tab/>
            </w:r>
            <w:r w:rsidR="00373C35">
              <w:rPr>
                <w:noProof/>
                <w:webHidden/>
              </w:rPr>
              <w:t>7</w:t>
            </w:r>
          </w:hyperlink>
        </w:p>
        <w:p w:rsidR="00FF42BE" w:rsidRDefault="00955D58">
          <w:pPr>
            <w:pStyle w:val="TOC1"/>
            <w:tabs>
              <w:tab w:val="right" w:leader="dot" w:pos="9350"/>
            </w:tabs>
            <w:rPr>
              <w:noProof/>
            </w:rPr>
          </w:pPr>
          <w:hyperlink w:anchor="_Toc20287320" w:history="1">
            <w:r w:rsidR="00FF42BE" w:rsidRPr="00F24339">
              <w:rPr>
                <w:rStyle w:val="Hyperlink"/>
                <w:noProof/>
              </w:rPr>
              <w:t>Conclusion</w:t>
            </w:r>
            <w:r w:rsidR="00FF42BE">
              <w:rPr>
                <w:noProof/>
                <w:webHidden/>
              </w:rPr>
              <w:tab/>
            </w:r>
            <w:r w:rsidR="00373C35">
              <w:rPr>
                <w:noProof/>
                <w:webHidden/>
              </w:rPr>
              <w:t>8</w:t>
            </w:r>
          </w:hyperlink>
        </w:p>
        <w:p w:rsidR="00FF42BE" w:rsidRDefault="00955D58">
          <w:pPr>
            <w:pStyle w:val="TOC1"/>
            <w:tabs>
              <w:tab w:val="right" w:leader="dot" w:pos="9350"/>
            </w:tabs>
            <w:rPr>
              <w:noProof/>
            </w:rPr>
          </w:pPr>
          <w:hyperlink w:anchor="_Toc20287321" w:history="1">
            <w:r w:rsidR="00FF42BE" w:rsidRPr="00F24339">
              <w:rPr>
                <w:rStyle w:val="Hyperlink"/>
                <w:noProof/>
              </w:rPr>
              <w:t>References</w:t>
            </w:r>
            <w:r w:rsidR="00FF42BE">
              <w:rPr>
                <w:noProof/>
                <w:webHidden/>
              </w:rPr>
              <w:tab/>
            </w:r>
            <w:r w:rsidR="00373C35">
              <w:rPr>
                <w:noProof/>
                <w:webHidden/>
              </w:rPr>
              <w:t>9</w:t>
            </w:r>
          </w:hyperlink>
        </w:p>
        <w:p w:rsidR="00FF42BE" w:rsidRDefault="00955D58" w:rsidP="00FF42BE">
          <w:r>
            <w:rPr>
              <w:b/>
              <w:bCs/>
              <w:noProof/>
            </w:rPr>
            <w:fldChar w:fldCharType="end"/>
          </w:r>
        </w:p>
      </w:sdtContent>
    </w:sdt>
    <w:p w:rsidR="00B96A6D" w:rsidRDefault="00B96A6D" w:rsidP="00FF42BE">
      <w:pPr>
        <w:pStyle w:val="Heading1"/>
        <w:rPr>
          <w:rFonts w:ascii="Times New Roman" w:hAnsi="Times New Roman" w:cs="Times New Roman"/>
          <w:color w:val="auto"/>
          <w:sz w:val="24"/>
          <w:szCs w:val="24"/>
        </w:rPr>
      </w:pPr>
      <w:bookmarkStart w:id="0" w:name="_Toc20287314"/>
    </w:p>
    <w:p w:rsidR="00B96A6D" w:rsidRDefault="00B96A6D" w:rsidP="00FF42BE">
      <w:pPr>
        <w:pStyle w:val="Heading1"/>
        <w:rPr>
          <w:rFonts w:ascii="Times New Roman" w:hAnsi="Times New Roman" w:cs="Times New Roman"/>
          <w:color w:val="auto"/>
          <w:sz w:val="24"/>
          <w:szCs w:val="24"/>
        </w:rPr>
      </w:pPr>
    </w:p>
    <w:p w:rsidR="00B96A6D" w:rsidRDefault="00B96A6D" w:rsidP="00FF42BE">
      <w:pPr>
        <w:pStyle w:val="Heading1"/>
        <w:rPr>
          <w:rFonts w:ascii="Times New Roman" w:hAnsi="Times New Roman" w:cs="Times New Roman"/>
          <w:color w:val="auto"/>
          <w:sz w:val="24"/>
          <w:szCs w:val="24"/>
        </w:rPr>
      </w:pPr>
    </w:p>
    <w:p w:rsidR="00B96A6D" w:rsidRDefault="00B96A6D" w:rsidP="00FF42BE">
      <w:pPr>
        <w:pStyle w:val="Heading1"/>
        <w:rPr>
          <w:rFonts w:ascii="Times New Roman" w:hAnsi="Times New Roman" w:cs="Times New Roman"/>
          <w:color w:val="auto"/>
          <w:sz w:val="24"/>
          <w:szCs w:val="24"/>
        </w:rPr>
      </w:pPr>
    </w:p>
    <w:p w:rsidR="00B96A6D" w:rsidRDefault="00B96A6D" w:rsidP="00FF42BE">
      <w:pPr>
        <w:pStyle w:val="Heading1"/>
        <w:rPr>
          <w:rFonts w:ascii="Times New Roman" w:hAnsi="Times New Roman" w:cs="Times New Roman"/>
          <w:color w:val="auto"/>
          <w:sz w:val="24"/>
          <w:szCs w:val="24"/>
        </w:rPr>
      </w:pPr>
    </w:p>
    <w:p w:rsidR="00B96A6D" w:rsidRDefault="00B96A6D" w:rsidP="00FF42BE">
      <w:pPr>
        <w:pStyle w:val="Heading1"/>
        <w:rPr>
          <w:rFonts w:ascii="Times New Roman" w:hAnsi="Times New Roman" w:cs="Times New Roman"/>
          <w:color w:val="auto"/>
          <w:sz w:val="24"/>
          <w:szCs w:val="24"/>
        </w:rPr>
      </w:pPr>
    </w:p>
    <w:p w:rsidR="00B96A6D" w:rsidRPr="00B96A6D" w:rsidRDefault="00B96A6D" w:rsidP="00B96A6D"/>
    <w:p w:rsidR="00B96A6D" w:rsidRDefault="00B96A6D" w:rsidP="00FF42BE">
      <w:pPr>
        <w:pStyle w:val="Heading1"/>
        <w:rPr>
          <w:rFonts w:ascii="Times New Roman" w:hAnsi="Times New Roman" w:cs="Times New Roman"/>
          <w:color w:val="auto"/>
          <w:sz w:val="24"/>
          <w:szCs w:val="24"/>
        </w:rPr>
      </w:pPr>
    </w:p>
    <w:p w:rsidR="00F913C2" w:rsidRPr="00FF42BE" w:rsidRDefault="00F913C2" w:rsidP="00FF42BE">
      <w:pPr>
        <w:pStyle w:val="Heading1"/>
        <w:rPr>
          <w:rFonts w:ascii="Times New Roman" w:hAnsi="Times New Roman" w:cs="Times New Roman"/>
          <w:color w:val="auto"/>
          <w:sz w:val="24"/>
          <w:szCs w:val="24"/>
        </w:rPr>
      </w:pPr>
      <w:r w:rsidRPr="00FF42BE">
        <w:rPr>
          <w:rFonts w:ascii="Times New Roman" w:hAnsi="Times New Roman" w:cs="Times New Roman"/>
          <w:color w:val="auto"/>
          <w:sz w:val="24"/>
          <w:szCs w:val="24"/>
        </w:rPr>
        <w:t>Outline</w:t>
      </w:r>
      <w:bookmarkEnd w:id="0"/>
    </w:p>
    <w:p w:rsidR="00F913C2" w:rsidRDefault="00F913C2" w:rsidP="00F913C2">
      <w:pPr>
        <w:contextualSpacing/>
      </w:pPr>
      <w:r>
        <w:t xml:space="preserve">Introduction </w:t>
      </w:r>
    </w:p>
    <w:p w:rsidR="00F913C2" w:rsidRDefault="00F913C2" w:rsidP="00F913C2">
      <w:pPr>
        <w:contextualSpacing/>
      </w:pPr>
      <w:r>
        <w:t xml:space="preserve">Management risk assessment </w:t>
      </w:r>
    </w:p>
    <w:p w:rsidR="00F913C2" w:rsidRDefault="00F913C2" w:rsidP="00F913C2">
      <w:pPr>
        <w:contextualSpacing/>
      </w:pPr>
      <w:r>
        <w:t xml:space="preserve">Returns for shareholders </w:t>
      </w:r>
    </w:p>
    <w:p w:rsidR="00F913C2" w:rsidRDefault="00F913C2" w:rsidP="00F913C2">
      <w:pPr>
        <w:contextualSpacing/>
      </w:pPr>
      <w:r>
        <w:t xml:space="preserve">Control of debt and equity </w:t>
      </w:r>
    </w:p>
    <w:p w:rsidR="00F913C2" w:rsidRDefault="00F913C2" w:rsidP="00F913C2">
      <w:pPr>
        <w:contextualSpacing/>
      </w:pPr>
      <w:r>
        <w:t xml:space="preserve">Capital and debt </w:t>
      </w:r>
    </w:p>
    <w:p w:rsidR="00F913C2" w:rsidRDefault="00F913C2" w:rsidP="00F913C2">
      <w:pPr>
        <w:contextualSpacing/>
      </w:pPr>
      <w:r>
        <w:t xml:space="preserve">Conclusion </w:t>
      </w:r>
    </w:p>
    <w:p w:rsidR="00F913C2" w:rsidRDefault="00F913C2" w:rsidP="00F913C2">
      <w:pPr>
        <w:contextualSpacing/>
      </w:pPr>
      <w:r>
        <w:t xml:space="preserve">References </w:t>
      </w:r>
    </w:p>
    <w:p w:rsidR="00FF42BE" w:rsidRDefault="00FF42BE" w:rsidP="00F913C2">
      <w:pPr>
        <w:contextualSpacing/>
      </w:pPr>
    </w:p>
    <w:p w:rsidR="00B96A6D" w:rsidRDefault="00B96A6D" w:rsidP="00F913C2">
      <w:pPr>
        <w:contextualSpacing/>
      </w:pPr>
    </w:p>
    <w:p w:rsidR="00B96A6D" w:rsidRDefault="00B96A6D" w:rsidP="00F913C2">
      <w:pPr>
        <w:contextualSpacing/>
      </w:pPr>
    </w:p>
    <w:p w:rsidR="00B96A6D" w:rsidRDefault="00B96A6D" w:rsidP="00F913C2">
      <w:pPr>
        <w:contextualSpacing/>
      </w:pPr>
    </w:p>
    <w:p w:rsidR="00B96A6D" w:rsidRDefault="00B96A6D" w:rsidP="00F913C2">
      <w:pPr>
        <w:contextualSpacing/>
      </w:pPr>
    </w:p>
    <w:p w:rsidR="00B96A6D" w:rsidRDefault="00B96A6D" w:rsidP="00F913C2">
      <w:pPr>
        <w:contextualSpacing/>
      </w:pPr>
    </w:p>
    <w:p w:rsidR="00B96A6D" w:rsidRDefault="00B96A6D" w:rsidP="00F913C2">
      <w:pPr>
        <w:contextualSpacing/>
      </w:pPr>
    </w:p>
    <w:p w:rsidR="00B96A6D" w:rsidRDefault="00B96A6D" w:rsidP="00F913C2">
      <w:pPr>
        <w:contextualSpacing/>
      </w:pPr>
    </w:p>
    <w:p w:rsidR="00B96A6D" w:rsidRDefault="00B96A6D" w:rsidP="00F913C2">
      <w:pPr>
        <w:contextualSpacing/>
      </w:pPr>
    </w:p>
    <w:p w:rsidR="00B96A6D" w:rsidRDefault="00B96A6D" w:rsidP="00F913C2">
      <w:pPr>
        <w:contextualSpacing/>
      </w:pPr>
    </w:p>
    <w:p w:rsidR="00B96A6D" w:rsidRDefault="00B96A6D" w:rsidP="00F913C2">
      <w:pPr>
        <w:contextualSpacing/>
      </w:pPr>
    </w:p>
    <w:p w:rsidR="00B96A6D" w:rsidRDefault="00B96A6D" w:rsidP="00F913C2">
      <w:pPr>
        <w:contextualSpacing/>
      </w:pPr>
    </w:p>
    <w:p w:rsidR="00B96A6D" w:rsidRDefault="00B96A6D" w:rsidP="00F913C2">
      <w:pPr>
        <w:contextualSpacing/>
      </w:pPr>
    </w:p>
    <w:p w:rsidR="00B96A6D" w:rsidRDefault="00B96A6D" w:rsidP="00F913C2">
      <w:pPr>
        <w:contextualSpacing/>
      </w:pPr>
    </w:p>
    <w:p w:rsidR="00F913C2" w:rsidRPr="00FF42BE" w:rsidRDefault="00F913C2" w:rsidP="00FF42BE">
      <w:pPr>
        <w:pStyle w:val="Heading1"/>
        <w:jc w:val="center"/>
        <w:rPr>
          <w:rFonts w:ascii="Times New Roman" w:hAnsi="Times New Roman" w:cs="Times New Roman"/>
          <w:b/>
          <w:bCs/>
          <w:color w:val="auto"/>
          <w:sz w:val="24"/>
          <w:szCs w:val="24"/>
        </w:rPr>
      </w:pPr>
      <w:bookmarkStart w:id="1" w:name="_Toc20287315"/>
      <w:r w:rsidRPr="00FF42BE">
        <w:rPr>
          <w:rFonts w:ascii="Times New Roman" w:hAnsi="Times New Roman" w:cs="Times New Roman"/>
          <w:b/>
          <w:bCs/>
          <w:color w:val="auto"/>
          <w:sz w:val="24"/>
          <w:szCs w:val="24"/>
        </w:rPr>
        <w:lastRenderedPageBreak/>
        <w:t>Introduction</w:t>
      </w:r>
      <w:bookmarkEnd w:id="1"/>
    </w:p>
    <w:p w:rsidR="00475B4D" w:rsidRDefault="00475B4D" w:rsidP="00475B4D">
      <w:pPr>
        <w:ind w:firstLine="720"/>
        <w:contextualSpacing/>
      </w:pPr>
      <w:r w:rsidRPr="00393C2A">
        <w:t xml:space="preserve">Organizations, at times, find it challenging to develop run smooths without issues arising from the stakeholders. Sometimes, managers and shareholders of the organization can be in disagreements due to different factors within the organization. Some of the problems that can arise within managers and shareholders are agency problems. Agency problems can occur between various stakeholders in the organization. Agency problems can be the conflict of interest between the shareholders and managers and shareholders and creditors, respectively. When there are shareholder-manager agency problems, it may be difficult for the organization to achieve the shareholders' goal of wealth maximization.  Therefore, </w:t>
      </w:r>
      <w:r w:rsidR="004801E6">
        <w:t xml:space="preserve">there can be conflict of interest in </w:t>
      </w:r>
      <w:r w:rsidRPr="00393C2A">
        <w:t>organization</w:t>
      </w:r>
      <w:r w:rsidR="004801E6">
        <w:t>s</w:t>
      </w:r>
      <w:r w:rsidRPr="00393C2A">
        <w:t xml:space="preserve"> between shareholders and managers, and if it goes unsolved will result in negative impacts on the organization.</w:t>
      </w:r>
    </w:p>
    <w:p w:rsidR="00F913C2" w:rsidRPr="00FF42BE" w:rsidRDefault="00F913C2" w:rsidP="00FF42BE">
      <w:pPr>
        <w:pStyle w:val="Heading1"/>
        <w:rPr>
          <w:rFonts w:ascii="Times New Roman" w:hAnsi="Times New Roman" w:cs="Times New Roman"/>
          <w:b/>
          <w:bCs/>
          <w:color w:val="auto"/>
          <w:sz w:val="24"/>
          <w:szCs w:val="24"/>
        </w:rPr>
      </w:pPr>
      <w:bookmarkStart w:id="2" w:name="_Toc20287316"/>
      <w:r w:rsidRPr="00FF42BE">
        <w:rPr>
          <w:rFonts w:ascii="Times New Roman" w:hAnsi="Times New Roman" w:cs="Times New Roman"/>
          <w:b/>
          <w:bCs/>
          <w:color w:val="auto"/>
          <w:sz w:val="24"/>
          <w:szCs w:val="24"/>
        </w:rPr>
        <w:t>Management Risk Assessment</w:t>
      </w:r>
      <w:bookmarkEnd w:id="2"/>
    </w:p>
    <w:p w:rsidR="00475B4D" w:rsidRDefault="00475B4D" w:rsidP="00475B4D">
      <w:pPr>
        <w:ind w:firstLine="720"/>
        <w:contextualSpacing/>
      </w:pPr>
      <w:r w:rsidRPr="00393C2A">
        <w:t xml:space="preserve">In an organization, shareholders and managers can be viewed from different perspectives. Shareholders can be considered to be active principals within the organization and managers can as well be deemed to be in passive agents. The real owner of a company are the shareholders; however, they are not in positions to </w:t>
      </w:r>
      <w:r w:rsidR="004801E6" w:rsidRPr="00393C2A">
        <w:t>dynamically</w:t>
      </w:r>
      <w:r w:rsidRPr="00393C2A">
        <w:t xml:space="preserve"> manage </w:t>
      </w:r>
      <w:r w:rsidR="004801E6">
        <w:t xml:space="preserve">an organization </w:t>
      </w:r>
      <w:r w:rsidRPr="00393C2A">
        <w:t>on themselves as they are in large numbers</w:t>
      </w:r>
      <w:r w:rsidR="00393C2A" w:rsidRPr="00393C2A">
        <w:t xml:space="preserve"> (</w:t>
      </w:r>
      <w:r w:rsidR="00393C2A" w:rsidRPr="00393C2A">
        <w:rPr>
          <w:shd w:val="clear" w:color="auto" w:fill="FFFFFF"/>
        </w:rPr>
        <w:t>Aguilera, Florackis, &amp; Kim, 2016)</w:t>
      </w:r>
      <w:r w:rsidRPr="00393C2A">
        <w:t>. Shareholders of a company as well are dispersed in different geographical locations, and this makes their managerial aspect of a company a little challenging. Besides, shareholders may not have the necessary skills, expertise and the experience that is needed in the management of a company and thus requiring them to have a manager</w:t>
      </w:r>
      <w:r w:rsidR="00393C2A" w:rsidRPr="00393C2A">
        <w:t xml:space="preserve"> (</w:t>
      </w:r>
      <w:r w:rsidR="00393C2A" w:rsidRPr="00393C2A">
        <w:rPr>
          <w:shd w:val="clear" w:color="auto" w:fill="FFFFFF"/>
        </w:rPr>
        <w:t>Aguilera, Florackis, &amp; Kim, 2016)</w:t>
      </w:r>
      <w:r w:rsidRPr="00393C2A">
        <w:t xml:space="preserve">. Due to the lack of enough knowledge and other situations between the shareholders, they are forced to elect a Board of Directors (BOD) between themselves, which can run the management practices of the firm. The BOD further </w:t>
      </w:r>
      <w:r w:rsidRPr="00393C2A">
        <w:lastRenderedPageBreak/>
        <w:t>chooses a Chief Executive Officer with whom authority is delegated to and thus becomes responsible for the company management.</w:t>
      </w:r>
    </w:p>
    <w:p w:rsidR="00F913C2" w:rsidRPr="00FF42BE" w:rsidRDefault="00F913C2" w:rsidP="00FF42BE">
      <w:pPr>
        <w:pStyle w:val="Heading1"/>
        <w:jc w:val="center"/>
        <w:rPr>
          <w:rFonts w:ascii="Times New Roman" w:hAnsi="Times New Roman" w:cs="Times New Roman"/>
          <w:b/>
          <w:bCs/>
          <w:color w:val="auto"/>
          <w:sz w:val="24"/>
          <w:szCs w:val="24"/>
        </w:rPr>
      </w:pPr>
      <w:bookmarkStart w:id="3" w:name="_Toc20287317"/>
      <w:r w:rsidRPr="00FF42BE">
        <w:rPr>
          <w:rFonts w:ascii="Times New Roman" w:hAnsi="Times New Roman" w:cs="Times New Roman"/>
          <w:b/>
          <w:bCs/>
          <w:color w:val="auto"/>
          <w:sz w:val="24"/>
          <w:szCs w:val="24"/>
        </w:rPr>
        <w:t>Returns for Shareholders</w:t>
      </w:r>
      <w:bookmarkEnd w:id="3"/>
    </w:p>
    <w:p w:rsidR="00475B4D" w:rsidRPr="00393C2A" w:rsidRDefault="004801E6" w:rsidP="00475B4D">
      <w:pPr>
        <w:ind w:firstLine="720"/>
        <w:contextualSpacing/>
      </w:pPr>
      <w:r>
        <w:t>The major concern of m</w:t>
      </w:r>
      <w:r w:rsidR="00475B4D" w:rsidRPr="00393C2A">
        <w:t xml:space="preserve">anagers in organizations </w:t>
      </w:r>
      <w:r>
        <w:t xml:space="preserve">is </w:t>
      </w:r>
      <w:r w:rsidR="00475B4D" w:rsidRPr="00393C2A">
        <w:t>their wealth, salary, job security, prestige and fringe benefits. In this case, there might be a potential loss of the shareholders' wealth, and this can result in conflicts between shareholders and the managers. In their efforts to balance between their desires and the organization, managers may tend to compromise between their satisfaction and thus focus on the maximization of the shareholder wealth</w:t>
      </w:r>
      <w:r w:rsidR="00393C2A" w:rsidRPr="00393C2A">
        <w:t xml:space="preserve"> (</w:t>
      </w:r>
      <w:r w:rsidR="00393C2A" w:rsidRPr="00393C2A">
        <w:rPr>
          <w:shd w:val="clear" w:color="auto" w:fill="FFFFFF"/>
        </w:rPr>
        <w:t>Ducassy, &amp; Guyot, 2017)</w:t>
      </w:r>
      <w:r w:rsidR="00475B4D" w:rsidRPr="00393C2A">
        <w:t>. Agency problems between managers and shareholders occur because the management tends to act for achieving their own goals at the expense of the shareholders. Since managers have more information as regards to the operations of the company, they can manipulate the company information to benefit themselves</w:t>
      </w:r>
      <w:r w:rsidR="00393C2A" w:rsidRPr="00393C2A">
        <w:t xml:space="preserve"> (</w:t>
      </w:r>
      <w:r w:rsidR="00393C2A" w:rsidRPr="00393C2A">
        <w:rPr>
          <w:shd w:val="clear" w:color="auto" w:fill="FFFFFF"/>
        </w:rPr>
        <w:t>Ducassy, &amp; Guyot, 2017)</w:t>
      </w:r>
      <w:r w:rsidR="00475B4D" w:rsidRPr="00393C2A">
        <w:t>. Managers, due to self-interest influence, they may not work hard for the maximization of the wealth of the shareholders since they know that only get a little share of what they have achieved.</w:t>
      </w:r>
    </w:p>
    <w:p w:rsidR="00475B4D" w:rsidRDefault="00475B4D" w:rsidP="00475B4D">
      <w:pPr>
        <w:ind w:firstLine="720"/>
        <w:contextualSpacing/>
      </w:pPr>
      <w:r w:rsidRPr="00393C2A">
        <w:t>Sometimes, managers can give away their corporate earning to favorite charitable institutions so that they can achieve personal glory and satisfaction. Managers further may practice the poison pill, an aspect where managers pose the company as an unattractive entity to be taken over so that the shareholder does not benefit from the company</w:t>
      </w:r>
      <w:r w:rsidR="00393C2A" w:rsidRPr="00393C2A">
        <w:t xml:space="preserve"> (</w:t>
      </w:r>
      <w:r w:rsidR="00393C2A" w:rsidRPr="00393C2A">
        <w:rPr>
          <w:shd w:val="clear" w:color="auto" w:fill="FFFFFF"/>
        </w:rPr>
        <w:t>Ducassy, &amp; Guyot, 2017)</w:t>
      </w:r>
      <w:r w:rsidRPr="00393C2A">
        <w:t xml:space="preserve">. Besides, they may represent the company as a greenmail, the practice of repurchasing shares from a person to gain control of a firm so that they can prevent the hostile takeover of companies. When shareholders realize that the intention of the managers to the company is not </w:t>
      </w:r>
      <w:r w:rsidRPr="00393C2A">
        <w:lastRenderedPageBreak/>
        <w:t>genuine, agency problems always come up, and this is what prevents the companies from improving in stature.</w:t>
      </w:r>
    </w:p>
    <w:p w:rsidR="00F913C2" w:rsidRPr="00FF42BE" w:rsidRDefault="00F913C2" w:rsidP="00FF42BE">
      <w:pPr>
        <w:pStyle w:val="Heading1"/>
        <w:jc w:val="center"/>
        <w:rPr>
          <w:rFonts w:ascii="Times New Roman" w:hAnsi="Times New Roman" w:cs="Times New Roman"/>
          <w:b/>
          <w:bCs/>
          <w:color w:val="auto"/>
          <w:sz w:val="24"/>
          <w:szCs w:val="24"/>
        </w:rPr>
      </w:pPr>
      <w:bookmarkStart w:id="4" w:name="_Toc20287318"/>
      <w:r w:rsidRPr="00FF42BE">
        <w:rPr>
          <w:rFonts w:ascii="Times New Roman" w:hAnsi="Times New Roman" w:cs="Times New Roman"/>
          <w:b/>
          <w:bCs/>
          <w:color w:val="auto"/>
          <w:sz w:val="24"/>
          <w:szCs w:val="24"/>
        </w:rPr>
        <w:t>Control of Debt and Equity</w:t>
      </w:r>
      <w:bookmarkEnd w:id="4"/>
    </w:p>
    <w:p w:rsidR="00475B4D" w:rsidRDefault="00475B4D" w:rsidP="00475B4D">
      <w:pPr>
        <w:ind w:firstLine="720"/>
        <w:contextualSpacing/>
      </w:pPr>
      <w:r w:rsidRPr="00393C2A">
        <w:t xml:space="preserve">Agency problems occur as a result of when the managers have developed a different objective other than value maximization for the shareholders or when the organization ownership is separated. </w:t>
      </w:r>
      <w:r w:rsidR="004801E6">
        <w:t>Managers should have full authority on the right to decisions and control in an agency view of a company</w:t>
      </w:r>
      <w:r w:rsidRPr="00393C2A">
        <w:t xml:space="preserve">, and thus the manager is supposed to act in the </w:t>
      </w:r>
      <w:r w:rsidR="004801E6">
        <w:t xml:space="preserve">shareholders </w:t>
      </w:r>
      <w:r w:rsidRPr="00393C2A">
        <w:t xml:space="preserve">interest. However, partly as a </w:t>
      </w:r>
      <w:r w:rsidR="004801E6" w:rsidRPr="00393C2A">
        <w:t>consequence</w:t>
      </w:r>
      <w:r w:rsidRPr="00393C2A">
        <w:t xml:space="preserve"> of this, there exist </w:t>
      </w:r>
      <w:r w:rsidR="004801E6">
        <w:t xml:space="preserve">systems </w:t>
      </w:r>
      <w:r w:rsidRPr="00393C2A">
        <w:t xml:space="preserve">of corporate governance which include the systems of control that are </w:t>
      </w:r>
      <w:r w:rsidR="004801E6" w:rsidRPr="00393C2A">
        <w:t>envisioned</w:t>
      </w:r>
      <w:r w:rsidRPr="00393C2A">
        <w:t xml:space="preserve"> to </w:t>
      </w:r>
      <w:r w:rsidR="00705E4B" w:rsidRPr="00393C2A">
        <w:t>bring into line</w:t>
      </w:r>
      <w:r w:rsidRPr="00393C2A">
        <w:t xml:space="preserve"> the managers' incentives with those of the shareholders. The deviation of the managers' interest from that the of the shareholders results in contracting costs. Partial control of the managers in the organization is one of the problems that may lead to agency problems. In general, the CEO and other top executives in an organization are mandated with making the decisions involving high-level policies as well as an organizational strategy. Shareholders have the right to sell the shares of s corporation. However, when such an action is done without the inclusion of the management in the decisions, there can be a conflict of interest between the shareholders and the managers. </w:t>
      </w:r>
    </w:p>
    <w:p w:rsidR="00F913C2" w:rsidRPr="00FF42BE" w:rsidRDefault="00F913C2" w:rsidP="00FF42BE">
      <w:pPr>
        <w:pStyle w:val="Heading1"/>
        <w:jc w:val="center"/>
        <w:rPr>
          <w:rFonts w:ascii="Times New Roman" w:hAnsi="Times New Roman" w:cs="Times New Roman"/>
          <w:b/>
          <w:bCs/>
          <w:color w:val="auto"/>
          <w:sz w:val="24"/>
          <w:szCs w:val="24"/>
        </w:rPr>
      </w:pPr>
      <w:bookmarkStart w:id="5" w:name="_Toc20287319"/>
      <w:r w:rsidRPr="00FF42BE">
        <w:rPr>
          <w:rFonts w:ascii="Times New Roman" w:hAnsi="Times New Roman" w:cs="Times New Roman"/>
          <w:b/>
          <w:bCs/>
          <w:color w:val="auto"/>
          <w:sz w:val="24"/>
          <w:szCs w:val="24"/>
        </w:rPr>
        <w:t>Capital and Debt</w:t>
      </w:r>
      <w:bookmarkEnd w:id="5"/>
    </w:p>
    <w:p w:rsidR="00475B4D" w:rsidRPr="00393C2A" w:rsidRDefault="00475B4D" w:rsidP="00475B4D">
      <w:pPr>
        <w:ind w:firstLine="720"/>
        <w:contextualSpacing/>
      </w:pPr>
      <w:r w:rsidRPr="00393C2A">
        <w:t xml:space="preserve">In the attempts to benefits the shareholders, managers find themselves in situations of conflicting interests. For instance, a manager may get involved in self-dealings, entering into </w:t>
      </w:r>
      <w:r w:rsidR="00705E4B" w:rsidRPr="00393C2A">
        <w:t>dealings</w:t>
      </w:r>
      <w:r w:rsidRPr="00393C2A">
        <w:t xml:space="preserve"> that benefit themselves and not the shareholders. Managers as well can further purchase companies so that they expand their power, or they can spend organizational resources on wasteful pet projects </w:t>
      </w:r>
      <w:r w:rsidR="00705E4B">
        <w:t>rather than</w:t>
      </w:r>
      <w:r w:rsidRPr="00393C2A">
        <w:t xml:space="preserve"> investing the resources well to maximize the value of the stock of the corporation. Managers can venture into fraud, where they may </w:t>
      </w:r>
      <w:r w:rsidR="00705E4B">
        <w:t>alter</w:t>
      </w:r>
      <w:r w:rsidRPr="00393C2A">
        <w:t xml:space="preserve"> financial figures to </w:t>
      </w:r>
      <w:r w:rsidRPr="00393C2A">
        <w:lastRenderedPageBreak/>
        <w:t>deceive the shareholders and optimize their bonuses as well as stock-related benefits while at the long run the exercise being at the expense of the company. Such issues, among many others, can bring about the agency problems that are witnessed between shareholders and managers.</w:t>
      </w:r>
    </w:p>
    <w:p w:rsidR="00475B4D" w:rsidRDefault="00475B4D" w:rsidP="00475B4D">
      <w:pPr>
        <w:ind w:firstLine="720"/>
        <w:contextualSpacing/>
      </w:pPr>
      <w:r w:rsidRPr="00393C2A">
        <w:t>Agency problems in an organization can as well be caused by debt</w:t>
      </w:r>
      <w:r w:rsidR="006332CF">
        <w:t xml:space="preserve"> control and issues with company e</w:t>
      </w:r>
      <w:r w:rsidRPr="00393C2A">
        <w:t xml:space="preserve">quity.  The management teams in most cases alter the capital structures of a company, the debt </w:t>
      </w:r>
      <w:r w:rsidR="006332CF">
        <w:t xml:space="preserve">mix </w:t>
      </w:r>
      <w:r w:rsidRPr="00393C2A">
        <w:t xml:space="preserve">and </w:t>
      </w:r>
      <w:r w:rsidR="00C93FBC">
        <w:t xml:space="preserve">the employed </w:t>
      </w:r>
      <w:r w:rsidRPr="00393C2A">
        <w:t xml:space="preserve">equity financing in ways that are aimed at preservation of control rather than a combination that will maximize the wealth of the shareholders. For instance, the poison pill amendments that are adopted by the board of directors to support the management team purposely cause the shares of the company to lose their substantial value, on events of hostile takeovers. As well, such mistakes can be as a result of </w:t>
      </w:r>
      <w:r w:rsidR="00C93FBC">
        <w:t>giving</w:t>
      </w:r>
      <w:r w:rsidRPr="00393C2A">
        <w:t xml:space="preserve"> high returns to the shareholders at the expense of the leaders of the company. In this case, the management team and the shareholders end up having misplaced priorities which at long last result in agency problems.</w:t>
      </w:r>
    </w:p>
    <w:p w:rsidR="002864D4" w:rsidRDefault="002864D4" w:rsidP="00FF42BE">
      <w:pPr>
        <w:pStyle w:val="Heading1"/>
        <w:jc w:val="center"/>
        <w:rPr>
          <w:rFonts w:ascii="Times New Roman" w:hAnsi="Times New Roman" w:cs="Times New Roman"/>
          <w:b/>
          <w:bCs/>
          <w:color w:val="auto"/>
          <w:sz w:val="24"/>
          <w:szCs w:val="24"/>
        </w:rPr>
      </w:pPr>
      <w:bookmarkStart w:id="6" w:name="_Toc20287320"/>
    </w:p>
    <w:p w:rsidR="002864D4" w:rsidRDefault="002864D4" w:rsidP="00FF42BE">
      <w:pPr>
        <w:pStyle w:val="Heading1"/>
        <w:jc w:val="center"/>
        <w:rPr>
          <w:rFonts w:ascii="Times New Roman" w:hAnsi="Times New Roman" w:cs="Times New Roman"/>
          <w:b/>
          <w:bCs/>
          <w:color w:val="auto"/>
          <w:sz w:val="24"/>
          <w:szCs w:val="24"/>
        </w:rPr>
      </w:pPr>
    </w:p>
    <w:p w:rsidR="002864D4" w:rsidRDefault="002864D4" w:rsidP="00FF42BE">
      <w:pPr>
        <w:pStyle w:val="Heading1"/>
        <w:jc w:val="center"/>
        <w:rPr>
          <w:rFonts w:ascii="Times New Roman" w:hAnsi="Times New Roman" w:cs="Times New Roman"/>
          <w:b/>
          <w:bCs/>
          <w:color w:val="auto"/>
          <w:sz w:val="24"/>
          <w:szCs w:val="24"/>
        </w:rPr>
      </w:pPr>
    </w:p>
    <w:p w:rsidR="002864D4" w:rsidRDefault="002864D4" w:rsidP="00FF42BE">
      <w:pPr>
        <w:pStyle w:val="Heading1"/>
        <w:jc w:val="center"/>
        <w:rPr>
          <w:rFonts w:ascii="Times New Roman" w:hAnsi="Times New Roman" w:cs="Times New Roman"/>
          <w:b/>
          <w:bCs/>
          <w:color w:val="auto"/>
          <w:sz w:val="24"/>
          <w:szCs w:val="24"/>
        </w:rPr>
      </w:pPr>
    </w:p>
    <w:p w:rsidR="002864D4" w:rsidRDefault="002864D4" w:rsidP="00FF42BE">
      <w:pPr>
        <w:pStyle w:val="Heading1"/>
        <w:jc w:val="center"/>
        <w:rPr>
          <w:rFonts w:ascii="Times New Roman" w:hAnsi="Times New Roman" w:cs="Times New Roman"/>
          <w:b/>
          <w:bCs/>
          <w:color w:val="auto"/>
          <w:sz w:val="24"/>
          <w:szCs w:val="24"/>
        </w:rPr>
      </w:pPr>
    </w:p>
    <w:bookmarkEnd w:id="6"/>
    <w:p w:rsidR="007135BF" w:rsidRDefault="007135BF" w:rsidP="00F913C2">
      <w:pPr>
        <w:ind w:firstLine="720"/>
        <w:contextualSpacing/>
      </w:pPr>
    </w:p>
    <w:p w:rsidR="007135BF" w:rsidRDefault="007135BF" w:rsidP="00F913C2">
      <w:pPr>
        <w:ind w:firstLine="720"/>
        <w:contextualSpacing/>
      </w:pPr>
    </w:p>
    <w:p w:rsidR="007135BF" w:rsidRDefault="007135BF" w:rsidP="00F913C2">
      <w:pPr>
        <w:ind w:firstLine="720"/>
        <w:contextualSpacing/>
      </w:pPr>
    </w:p>
    <w:p w:rsidR="007135BF" w:rsidRPr="007135BF" w:rsidRDefault="007135BF" w:rsidP="007135BF">
      <w:pPr>
        <w:pStyle w:val="Heading1"/>
        <w:jc w:val="center"/>
        <w:rPr>
          <w:rFonts w:ascii="Times New Roman" w:hAnsi="Times New Roman" w:cs="Times New Roman"/>
          <w:b/>
          <w:bCs/>
          <w:sz w:val="24"/>
          <w:szCs w:val="24"/>
        </w:rPr>
      </w:pPr>
      <w:r w:rsidRPr="00FF42BE">
        <w:rPr>
          <w:rFonts w:ascii="Times New Roman" w:hAnsi="Times New Roman" w:cs="Times New Roman"/>
          <w:b/>
          <w:bCs/>
          <w:color w:val="auto"/>
          <w:sz w:val="24"/>
          <w:szCs w:val="24"/>
        </w:rPr>
        <w:lastRenderedPageBreak/>
        <w:t>Conclusion</w:t>
      </w:r>
    </w:p>
    <w:p w:rsidR="00393C2A" w:rsidRDefault="00475B4D" w:rsidP="00F913C2">
      <w:pPr>
        <w:ind w:firstLine="720"/>
        <w:contextualSpacing/>
      </w:pPr>
      <w:r w:rsidRPr="00393C2A">
        <w:t>Furthermore, organizations might be facing a tug-of-war between the investors and the management over the capital of the company. In general, the view of shareholders on the excess cash in the balance sheet of a company is that it should be returned to the shareholders in the form of cash dividends or as well invest in the purchase of shares to boost the value of the stock</w:t>
      </w:r>
      <w:r w:rsidR="00393C2A" w:rsidRPr="00393C2A">
        <w:t xml:space="preserve"> (</w:t>
      </w:r>
      <w:r w:rsidR="00393C2A" w:rsidRPr="00393C2A">
        <w:rPr>
          <w:shd w:val="clear" w:color="auto" w:fill="FFFFFF"/>
        </w:rPr>
        <w:t>Jo, Song, &amp; Tsang, 2016)</w:t>
      </w:r>
      <w:r w:rsidRPr="00393C2A">
        <w:t>. However, the management may be hesitant to do this since it is sometimes a right to be reluctant about such decisions. The administration shouldn't buy shares to appease the shareholders, but this should only be done when the company's shares have been undervalued</w:t>
      </w:r>
      <w:r w:rsidR="00393C2A" w:rsidRPr="00393C2A">
        <w:t xml:space="preserve"> (</w:t>
      </w:r>
      <w:r w:rsidR="00393C2A" w:rsidRPr="00393C2A">
        <w:rPr>
          <w:shd w:val="clear" w:color="auto" w:fill="FFFFFF"/>
        </w:rPr>
        <w:t>Jo, Song, &amp; Tsang, 2016)</w:t>
      </w:r>
      <w:r w:rsidRPr="00393C2A">
        <w:t xml:space="preserve">. The management may further want to raise capital for investment in other new projects in the organization while the shareholders may be viewing your decision as a threat to the success of the organization. When new shares are issued, the value of the existing shareholders' stake can be diluted, and issuance of debt can increase the leverage risk and thus, this can be a risk </w:t>
      </w:r>
      <w:r w:rsidR="00C93FBC" w:rsidRPr="00393C2A">
        <w:t>related</w:t>
      </w:r>
      <w:r w:rsidRPr="00393C2A">
        <w:t xml:space="preserve"> with the company's stock. Therefore, shareholders should </w:t>
      </w:r>
      <w:r w:rsidR="00C93FBC">
        <w:t>often</w:t>
      </w:r>
      <w:r w:rsidRPr="00393C2A">
        <w:t xml:space="preserve"> read reports from the management on financing and </w:t>
      </w:r>
      <w:r w:rsidR="00C93FBC" w:rsidRPr="00393C2A">
        <w:t>scrutinize</w:t>
      </w:r>
      <w:r w:rsidRPr="00393C2A">
        <w:t xml:space="preserve"> the statements of cash flows so that they can understand the financing method used by the company.</w:t>
      </w:r>
    </w:p>
    <w:p w:rsidR="00F913C2" w:rsidRDefault="00F913C2" w:rsidP="00F913C2">
      <w:pPr>
        <w:ind w:firstLine="720"/>
        <w:contextualSpacing/>
      </w:pPr>
    </w:p>
    <w:p w:rsidR="00F913C2" w:rsidRPr="00393C2A" w:rsidRDefault="00F913C2" w:rsidP="00F913C2">
      <w:pPr>
        <w:ind w:firstLine="720"/>
        <w:contextualSpacing/>
      </w:pPr>
    </w:p>
    <w:p w:rsidR="00F913C2" w:rsidRDefault="00F913C2" w:rsidP="00393C2A">
      <w:pPr>
        <w:contextualSpacing/>
        <w:jc w:val="center"/>
      </w:pPr>
    </w:p>
    <w:p w:rsidR="00F913C2" w:rsidRDefault="00F913C2" w:rsidP="00393C2A">
      <w:pPr>
        <w:contextualSpacing/>
        <w:jc w:val="center"/>
      </w:pPr>
    </w:p>
    <w:p w:rsidR="00F913C2" w:rsidRDefault="00F913C2" w:rsidP="00393C2A">
      <w:pPr>
        <w:contextualSpacing/>
        <w:jc w:val="center"/>
      </w:pPr>
    </w:p>
    <w:p w:rsidR="00F913C2" w:rsidRDefault="00F913C2" w:rsidP="00393C2A">
      <w:pPr>
        <w:contextualSpacing/>
        <w:jc w:val="center"/>
      </w:pPr>
    </w:p>
    <w:p w:rsidR="00F913C2" w:rsidRDefault="00F913C2" w:rsidP="00393C2A">
      <w:pPr>
        <w:contextualSpacing/>
        <w:jc w:val="center"/>
      </w:pPr>
    </w:p>
    <w:p w:rsidR="00FF42BE" w:rsidRDefault="00FF42BE" w:rsidP="00FF42BE">
      <w:pPr>
        <w:contextualSpacing/>
      </w:pPr>
      <w:bookmarkStart w:id="7" w:name="_GoBack"/>
      <w:bookmarkEnd w:id="7"/>
    </w:p>
    <w:p w:rsidR="00475B4D" w:rsidRPr="00FF42BE" w:rsidRDefault="00475B4D" w:rsidP="00FF42BE">
      <w:pPr>
        <w:pStyle w:val="Heading1"/>
        <w:jc w:val="center"/>
        <w:rPr>
          <w:rFonts w:ascii="Times New Roman" w:hAnsi="Times New Roman" w:cs="Times New Roman"/>
          <w:b/>
          <w:bCs/>
          <w:color w:val="auto"/>
          <w:sz w:val="24"/>
          <w:szCs w:val="24"/>
        </w:rPr>
      </w:pPr>
      <w:bookmarkStart w:id="8" w:name="_Toc20287321"/>
      <w:r w:rsidRPr="00FF42BE">
        <w:rPr>
          <w:rFonts w:ascii="Times New Roman" w:hAnsi="Times New Roman" w:cs="Times New Roman"/>
          <w:b/>
          <w:bCs/>
          <w:color w:val="auto"/>
          <w:sz w:val="24"/>
          <w:szCs w:val="24"/>
        </w:rPr>
        <w:lastRenderedPageBreak/>
        <w:t>References</w:t>
      </w:r>
      <w:bookmarkEnd w:id="8"/>
    </w:p>
    <w:p w:rsidR="00475B4D" w:rsidRPr="00393C2A" w:rsidRDefault="00475B4D" w:rsidP="00475B4D">
      <w:pPr>
        <w:ind w:left="720" w:hanging="720"/>
        <w:contextualSpacing/>
      </w:pPr>
      <w:r w:rsidRPr="00393C2A">
        <w:rPr>
          <w:shd w:val="clear" w:color="auto" w:fill="FFFFFF"/>
        </w:rPr>
        <w:t>Aguilera, R. V., Florackis, C., &amp; Kim, H. (2016). Advancing the corporate governance research agenda. </w:t>
      </w:r>
      <w:r w:rsidRPr="00393C2A">
        <w:rPr>
          <w:i/>
          <w:iCs/>
          <w:shd w:val="clear" w:color="auto" w:fill="FFFFFF"/>
        </w:rPr>
        <w:t>Corporate Governance: An International Review</w:t>
      </w:r>
      <w:r w:rsidRPr="00393C2A">
        <w:rPr>
          <w:shd w:val="clear" w:color="auto" w:fill="FFFFFF"/>
        </w:rPr>
        <w:t>, </w:t>
      </w:r>
      <w:r w:rsidRPr="00393C2A">
        <w:rPr>
          <w:i/>
          <w:iCs/>
          <w:shd w:val="clear" w:color="auto" w:fill="FFFFFF"/>
        </w:rPr>
        <w:t>24</w:t>
      </w:r>
      <w:r w:rsidRPr="00393C2A">
        <w:rPr>
          <w:shd w:val="clear" w:color="auto" w:fill="FFFFFF"/>
        </w:rPr>
        <w:t>(3), 172-180.</w:t>
      </w:r>
    </w:p>
    <w:p w:rsidR="00475B4D" w:rsidRPr="00393C2A" w:rsidRDefault="00475B4D" w:rsidP="00475B4D">
      <w:pPr>
        <w:ind w:left="720" w:hanging="720"/>
        <w:contextualSpacing/>
        <w:rPr>
          <w:shd w:val="clear" w:color="auto" w:fill="FFFFFF"/>
        </w:rPr>
      </w:pPr>
      <w:r w:rsidRPr="00393C2A">
        <w:rPr>
          <w:shd w:val="clear" w:color="auto" w:fill="FFFFFF"/>
        </w:rPr>
        <w:t>Barnea, A., &amp; Rubin, A. (2010). Corporate social responsibility as a conflict between shareholders. </w:t>
      </w:r>
      <w:r w:rsidRPr="00393C2A">
        <w:rPr>
          <w:i/>
          <w:iCs/>
          <w:shd w:val="clear" w:color="auto" w:fill="FFFFFF"/>
        </w:rPr>
        <w:t>Journal of business ethics</w:t>
      </w:r>
      <w:r w:rsidRPr="00393C2A">
        <w:rPr>
          <w:shd w:val="clear" w:color="auto" w:fill="FFFFFF"/>
        </w:rPr>
        <w:t>, </w:t>
      </w:r>
      <w:r w:rsidRPr="00393C2A">
        <w:rPr>
          <w:i/>
          <w:iCs/>
          <w:shd w:val="clear" w:color="auto" w:fill="FFFFFF"/>
        </w:rPr>
        <w:t>97</w:t>
      </w:r>
      <w:r w:rsidRPr="00393C2A">
        <w:rPr>
          <w:shd w:val="clear" w:color="auto" w:fill="FFFFFF"/>
        </w:rPr>
        <w:t>(1), 71-86.</w:t>
      </w:r>
    </w:p>
    <w:p w:rsidR="00475B4D" w:rsidRPr="00393C2A" w:rsidRDefault="00475B4D" w:rsidP="00475B4D">
      <w:pPr>
        <w:ind w:left="720" w:hanging="720"/>
        <w:contextualSpacing/>
        <w:rPr>
          <w:shd w:val="clear" w:color="auto" w:fill="FFFFFF"/>
        </w:rPr>
      </w:pPr>
      <w:r w:rsidRPr="00393C2A">
        <w:rPr>
          <w:shd w:val="clear" w:color="auto" w:fill="FFFFFF"/>
        </w:rPr>
        <w:t>Bottenberg, K., Tuschke, A., &amp; Flickinger, M. (2017). Corporate governance between shareholder and stakeholder orientation: Lessons from Germany. </w:t>
      </w:r>
      <w:r w:rsidRPr="00393C2A">
        <w:rPr>
          <w:i/>
          <w:iCs/>
          <w:shd w:val="clear" w:color="auto" w:fill="FFFFFF"/>
        </w:rPr>
        <w:t>Journal of Management Inquiry</w:t>
      </w:r>
      <w:r w:rsidRPr="00393C2A">
        <w:rPr>
          <w:shd w:val="clear" w:color="auto" w:fill="FFFFFF"/>
        </w:rPr>
        <w:t>, </w:t>
      </w:r>
      <w:r w:rsidRPr="00393C2A">
        <w:rPr>
          <w:i/>
          <w:iCs/>
          <w:shd w:val="clear" w:color="auto" w:fill="FFFFFF"/>
        </w:rPr>
        <w:t>26</w:t>
      </w:r>
      <w:r w:rsidRPr="00393C2A">
        <w:rPr>
          <w:shd w:val="clear" w:color="auto" w:fill="FFFFFF"/>
        </w:rPr>
        <w:t>(2), 165-180.</w:t>
      </w:r>
    </w:p>
    <w:p w:rsidR="00475B4D" w:rsidRPr="00393C2A" w:rsidRDefault="00475B4D" w:rsidP="00475B4D">
      <w:pPr>
        <w:ind w:left="720" w:hanging="720"/>
        <w:contextualSpacing/>
        <w:rPr>
          <w:shd w:val="clear" w:color="auto" w:fill="FFFFFF"/>
        </w:rPr>
      </w:pPr>
      <w:r w:rsidRPr="00393C2A">
        <w:rPr>
          <w:shd w:val="clear" w:color="auto" w:fill="FFFFFF"/>
        </w:rPr>
        <w:t>Ducassy, I., &amp; Guyot, A. (2017). Complex ownership structures, corporate governance and firm performance: The French context. </w:t>
      </w:r>
      <w:r w:rsidRPr="00393C2A">
        <w:rPr>
          <w:i/>
          <w:iCs/>
          <w:shd w:val="clear" w:color="auto" w:fill="FFFFFF"/>
        </w:rPr>
        <w:t>Research in International Business and Finance</w:t>
      </w:r>
      <w:r w:rsidRPr="00393C2A">
        <w:rPr>
          <w:shd w:val="clear" w:color="auto" w:fill="FFFFFF"/>
        </w:rPr>
        <w:t>, </w:t>
      </w:r>
      <w:r w:rsidRPr="00393C2A">
        <w:rPr>
          <w:i/>
          <w:iCs/>
          <w:shd w:val="clear" w:color="auto" w:fill="FFFFFF"/>
        </w:rPr>
        <w:t>39</w:t>
      </w:r>
      <w:r w:rsidRPr="00393C2A">
        <w:rPr>
          <w:shd w:val="clear" w:color="auto" w:fill="FFFFFF"/>
        </w:rPr>
        <w:t>, 291-306.</w:t>
      </w:r>
    </w:p>
    <w:p w:rsidR="00475B4D" w:rsidRPr="00393C2A" w:rsidRDefault="00475B4D" w:rsidP="00475B4D">
      <w:pPr>
        <w:ind w:left="720" w:hanging="720"/>
        <w:contextualSpacing/>
        <w:rPr>
          <w:shd w:val="clear" w:color="auto" w:fill="FFFFFF"/>
        </w:rPr>
      </w:pPr>
      <w:r w:rsidRPr="00393C2A">
        <w:rPr>
          <w:shd w:val="clear" w:color="auto" w:fill="FFFFFF"/>
        </w:rPr>
        <w:t>Harjoto, M., Laksmana, I., &amp; Lee, R. (2015). Board diversity and corporate social responsibility. </w:t>
      </w:r>
      <w:r w:rsidRPr="00393C2A">
        <w:rPr>
          <w:i/>
          <w:iCs/>
          <w:shd w:val="clear" w:color="auto" w:fill="FFFFFF"/>
        </w:rPr>
        <w:t>Journal of Business Ethics</w:t>
      </w:r>
      <w:r w:rsidRPr="00393C2A">
        <w:rPr>
          <w:shd w:val="clear" w:color="auto" w:fill="FFFFFF"/>
        </w:rPr>
        <w:t>, </w:t>
      </w:r>
      <w:r w:rsidRPr="00393C2A">
        <w:rPr>
          <w:i/>
          <w:iCs/>
          <w:shd w:val="clear" w:color="auto" w:fill="FFFFFF"/>
        </w:rPr>
        <w:t>132</w:t>
      </w:r>
      <w:r w:rsidRPr="00393C2A">
        <w:rPr>
          <w:shd w:val="clear" w:color="auto" w:fill="FFFFFF"/>
        </w:rPr>
        <w:t>(4), 641-660.</w:t>
      </w:r>
    </w:p>
    <w:p w:rsidR="00475B4D" w:rsidRPr="00393C2A" w:rsidRDefault="00475B4D" w:rsidP="00475B4D">
      <w:pPr>
        <w:ind w:left="720" w:hanging="720"/>
        <w:contextualSpacing/>
        <w:rPr>
          <w:shd w:val="clear" w:color="auto" w:fill="FFFFFF"/>
        </w:rPr>
      </w:pPr>
      <w:r w:rsidRPr="00393C2A">
        <w:rPr>
          <w:shd w:val="clear" w:color="auto" w:fill="FFFFFF"/>
        </w:rPr>
        <w:t>Jensen, M. C., &amp; Warner, J. B. (1988). The distribution of power among corporate managers, shareholders, and directors. </w:t>
      </w:r>
      <w:r w:rsidRPr="00393C2A">
        <w:rPr>
          <w:i/>
          <w:iCs/>
          <w:shd w:val="clear" w:color="auto" w:fill="FFFFFF"/>
        </w:rPr>
        <w:t>Journal of Financial Economics</w:t>
      </w:r>
      <w:r w:rsidRPr="00393C2A">
        <w:rPr>
          <w:shd w:val="clear" w:color="auto" w:fill="FFFFFF"/>
        </w:rPr>
        <w:t>, </w:t>
      </w:r>
      <w:r w:rsidRPr="00393C2A">
        <w:rPr>
          <w:i/>
          <w:iCs/>
          <w:shd w:val="clear" w:color="auto" w:fill="FFFFFF"/>
        </w:rPr>
        <w:t>20</w:t>
      </w:r>
      <w:r w:rsidRPr="00393C2A">
        <w:rPr>
          <w:shd w:val="clear" w:color="auto" w:fill="FFFFFF"/>
        </w:rPr>
        <w:t>, 3-24.</w:t>
      </w:r>
    </w:p>
    <w:p w:rsidR="00475B4D" w:rsidRPr="00393C2A" w:rsidRDefault="00475B4D" w:rsidP="00475B4D">
      <w:pPr>
        <w:ind w:left="720" w:hanging="720"/>
        <w:contextualSpacing/>
        <w:rPr>
          <w:shd w:val="clear" w:color="auto" w:fill="FFFFFF"/>
        </w:rPr>
      </w:pPr>
      <w:r w:rsidRPr="00393C2A">
        <w:rPr>
          <w:shd w:val="clear" w:color="auto" w:fill="FFFFFF"/>
        </w:rPr>
        <w:t>John, K., De Masi, S., &amp;Paci, A. (2016). Corporate governance in banks. </w:t>
      </w:r>
      <w:r w:rsidRPr="00393C2A">
        <w:rPr>
          <w:i/>
          <w:iCs/>
          <w:shd w:val="clear" w:color="auto" w:fill="FFFFFF"/>
        </w:rPr>
        <w:t>Corporate Governance: An International Review</w:t>
      </w:r>
      <w:r w:rsidRPr="00393C2A">
        <w:rPr>
          <w:shd w:val="clear" w:color="auto" w:fill="FFFFFF"/>
        </w:rPr>
        <w:t>, </w:t>
      </w:r>
      <w:r w:rsidRPr="00393C2A">
        <w:rPr>
          <w:i/>
          <w:iCs/>
          <w:shd w:val="clear" w:color="auto" w:fill="FFFFFF"/>
        </w:rPr>
        <w:t>24</w:t>
      </w:r>
      <w:r w:rsidRPr="00393C2A">
        <w:rPr>
          <w:shd w:val="clear" w:color="auto" w:fill="FFFFFF"/>
        </w:rPr>
        <w:t>(3), 303-321.</w:t>
      </w:r>
    </w:p>
    <w:p w:rsidR="00475B4D" w:rsidRPr="00393C2A" w:rsidRDefault="00475B4D" w:rsidP="00475B4D">
      <w:pPr>
        <w:ind w:left="720" w:hanging="720"/>
        <w:contextualSpacing/>
        <w:rPr>
          <w:shd w:val="clear" w:color="auto" w:fill="FFFFFF"/>
        </w:rPr>
      </w:pPr>
      <w:r w:rsidRPr="00393C2A">
        <w:rPr>
          <w:shd w:val="clear" w:color="auto" w:fill="FFFFFF"/>
        </w:rPr>
        <w:t>Jo, H., Song, M. H., &amp; Tsang, A. (2016). Corporate social responsibility and stakeholder governance around the world. </w:t>
      </w:r>
      <w:r w:rsidRPr="00393C2A">
        <w:rPr>
          <w:i/>
          <w:iCs/>
          <w:shd w:val="clear" w:color="auto" w:fill="FFFFFF"/>
        </w:rPr>
        <w:t>Global Finance Journal</w:t>
      </w:r>
      <w:r w:rsidRPr="00393C2A">
        <w:rPr>
          <w:shd w:val="clear" w:color="auto" w:fill="FFFFFF"/>
        </w:rPr>
        <w:t>, </w:t>
      </w:r>
      <w:r w:rsidRPr="00393C2A">
        <w:rPr>
          <w:i/>
          <w:iCs/>
          <w:shd w:val="clear" w:color="auto" w:fill="FFFFFF"/>
        </w:rPr>
        <w:t>29</w:t>
      </w:r>
      <w:r w:rsidRPr="00393C2A">
        <w:rPr>
          <w:shd w:val="clear" w:color="auto" w:fill="FFFFFF"/>
        </w:rPr>
        <w:t>, 42-69.</w:t>
      </w:r>
    </w:p>
    <w:p w:rsidR="00475B4D" w:rsidRPr="00393C2A" w:rsidRDefault="00475B4D" w:rsidP="00475B4D">
      <w:pPr>
        <w:ind w:left="720" w:hanging="720"/>
        <w:contextualSpacing/>
        <w:rPr>
          <w:shd w:val="clear" w:color="auto" w:fill="FFFFFF"/>
        </w:rPr>
      </w:pPr>
      <w:r w:rsidRPr="00393C2A">
        <w:rPr>
          <w:shd w:val="clear" w:color="auto" w:fill="FFFFFF"/>
        </w:rPr>
        <w:t>Schaltegger, S., &amp;Figge, F. (2000). Environmental shareholder value: economic success with corporate environmental management. </w:t>
      </w:r>
      <w:r w:rsidRPr="00393C2A">
        <w:rPr>
          <w:i/>
          <w:iCs/>
          <w:shd w:val="clear" w:color="auto" w:fill="FFFFFF"/>
        </w:rPr>
        <w:t>Eco‐Management and Auditing: The Journal of Corporate Environmental Management</w:t>
      </w:r>
      <w:r w:rsidRPr="00393C2A">
        <w:rPr>
          <w:shd w:val="clear" w:color="auto" w:fill="FFFFFF"/>
        </w:rPr>
        <w:t>, </w:t>
      </w:r>
      <w:r w:rsidRPr="00393C2A">
        <w:rPr>
          <w:i/>
          <w:iCs/>
          <w:shd w:val="clear" w:color="auto" w:fill="FFFFFF"/>
        </w:rPr>
        <w:t>7</w:t>
      </w:r>
      <w:r w:rsidRPr="00393C2A">
        <w:rPr>
          <w:shd w:val="clear" w:color="auto" w:fill="FFFFFF"/>
        </w:rPr>
        <w:t>(1), 29-42.</w:t>
      </w:r>
    </w:p>
    <w:p w:rsidR="00475B4D" w:rsidRPr="00393C2A" w:rsidRDefault="00475B4D" w:rsidP="00373C35">
      <w:r w:rsidRPr="00393C2A">
        <w:rPr>
          <w:shd w:val="clear" w:color="auto" w:fill="FFFFFF"/>
        </w:rPr>
        <w:t>Steger, T. (2015). Corporate Governance. </w:t>
      </w:r>
      <w:r w:rsidRPr="00393C2A">
        <w:rPr>
          <w:i/>
          <w:iCs/>
          <w:shd w:val="clear" w:color="auto" w:fill="FFFFFF"/>
        </w:rPr>
        <w:t>Wiley Encyclopedia of Management</w:t>
      </w:r>
      <w:r w:rsidRPr="00393C2A">
        <w:rPr>
          <w:shd w:val="clear" w:color="auto" w:fill="FFFFFF"/>
        </w:rPr>
        <w:t>, 1-4.</w:t>
      </w:r>
    </w:p>
    <w:sectPr w:rsidR="00475B4D" w:rsidRPr="00393C2A" w:rsidSect="00475B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48B" w:rsidRDefault="00B4748B" w:rsidP="00475B4D">
      <w:pPr>
        <w:spacing w:line="240" w:lineRule="auto"/>
      </w:pPr>
      <w:r>
        <w:separator/>
      </w:r>
    </w:p>
  </w:endnote>
  <w:endnote w:type="continuationSeparator" w:id="1">
    <w:p w:rsidR="00B4748B" w:rsidRDefault="00B4748B" w:rsidP="00475B4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48B" w:rsidRDefault="00B4748B" w:rsidP="00475B4D">
      <w:pPr>
        <w:spacing w:line="240" w:lineRule="auto"/>
      </w:pPr>
      <w:r>
        <w:separator/>
      </w:r>
    </w:p>
  </w:footnote>
  <w:footnote w:type="continuationSeparator" w:id="1">
    <w:p w:rsidR="00B4748B" w:rsidRDefault="00B4748B" w:rsidP="00475B4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4D" w:rsidRDefault="00475B4D" w:rsidP="00475B4D">
    <w:pPr>
      <w:pStyle w:val="Header"/>
      <w:jc w:val="right"/>
    </w:pPr>
    <w:r>
      <w:t xml:space="preserve">AGENCY PROBLEMS AMONG SHAREHOLDERS AND MANAGEMENT </w:t>
    </w:r>
    <w:r>
      <w:tab/>
    </w:r>
    <w:sdt>
      <w:sdtPr>
        <w:id w:val="834808340"/>
        <w:docPartObj>
          <w:docPartGallery w:val="Page Numbers (Top of Page)"/>
          <w:docPartUnique/>
        </w:docPartObj>
      </w:sdtPr>
      <w:sdtEndPr>
        <w:rPr>
          <w:noProof/>
        </w:rPr>
      </w:sdtEndPr>
      <w:sdtContent>
        <w:r w:rsidR="00955D58">
          <w:fldChar w:fldCharType="begin"/>
        </w:r>
        <w:r>
          <w:instrText xml:space="preserve"> PAGE   \* MERGEFORMAT </w:instrText>
        </w:r>
        <w:r w:rsidR="00955D58">
          <w:fldChar w:fldCharType="separate"/>
        </w:r>
        <w:r w:rsidR="00373C35">
          <w:rPr>
            <w:noProof/>
          </w:rPr>
          <w:t>2</w:t>
        </w:r>
        <w:r w:rsidR="00955D58">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4D" w:rsidRDefault="00475B4D" w:rsidP="00475B4D">
    <w:pPr>
      <w:pStyle w:val="Header"/>
      <w:jc w:val="right"/>
    </w:pPr>
    <w:r>
      <w:t>Running head: AGENCY PROBLEMS AMONG SHAREHOLDERS AND MANAGEMENT</w:t>
    </w:r>
    <w:sdt>
      <w:sdtPr>
        <w:id w:val="-1598785670"/>
        <w:docPartObj>
          <w:docPartGallery w:val="Page Numbers (Top of Page)"/>
          <w:docPartUnique/>
        </w:docPartObj>
      </w:sdtPr>
      <w:sdtEndPr>
        <w:rPr>
          <w:noProof/>
        </w:rPr>
      </w:sdtEndPr>
      <w:sdtContent>
        <w:r>
          <w:tab/>
        </w:r>
        <w:r w:rsidR="00955D58">
          <w:fldChar w:fldCharType="begin"/>
        </w:r>
        <w:r>
          <w:instrText xml:space="preserve"> PAGE   \* MERGEFORMAT </w:instrText>
        </w:r>
        <w:r w:rsidR="00955D58">
          <w:fldChar w:fldCharType="separate"/>
        </w:r>
        <w:r w:rsidR="00C921BB">
          <w:rPr>
            <w:noProof/>
          </w:rPr>
          <w:t>1</w:t>
        </w:r>
        <w:r w:rsidR="00955D58">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footnotePr>
    <w:footnote w:id="0"/>
    <w:footnote w:id="1"/>
  </w:footnotePr>
  <w:endnotePr>
    <w:endnote w:id="0"/>
    <w:endnote w:id="1"/>
  </w:endnotePr>
  <w:compat/>
  <w:rsids>
    <w:rsidRoot w:val="007E73C8"/>
    <w:rsid w:val="000C592C"/>
    <w:rsid w:val="001848EA"/>
    <w:rsid w:val="00274C44"/>
    <w:rsid w:val="002767FC"/>
    <w:rsid w:val="002864D4"/>
    <w:rsid w:val="002B5CA5"/>
    <w:rsid w:val="00373C35"/>
    <w:rsid w:val="00393C2A"/>
    <w:rsid w:val="00475B4D"/>
    <w:rsid w:val="004801E6"/>
    <w:rsid w:val="005407AC"/>
    <w:rsid w:val="005F7B04"/>
    <w:rsid w:val="006332CF"/>
    <w:rsid w:val="006A646D"/>
    <w:rsid w:val="006B29AC"/>
    <w:rsid w:val="00705E4B"/>
    <w:rsid w:val="007135BF"/>
    <w:rsid w:val="00724257"/>
    <w:rsid w:val="00734DD7"/>
    <w:rsid w:val="00774529"/>
    <w:rsid w:val="007A260A"/>
    <w:rsid w:val="007C3B4C"/>
    <w:rsid w:val="007E73C8"/>
    <w:rsid w:val="0081721B"/>
    <w:rsid w:val="00864587"/>
    <w:rsid w:val="008F2F37"/>
    <w:rsid w:val="00955D58"/>
    <w:rsid w:val="00957548"/>
    <w:rsid w:val="009B1F06"/>
    <w:rsid w:val="00A71A08"/>
    <w:rsid w:val="00B45BDF"/>
    <w:rsid w:val="00B4748B"/>
    <w:rsid w:val="00B96A6D"/>
    <w:rsid w:val="00BB3141"/>
    <w:rsid w:val="00BE1339"/>
    <w:rsid w:val="00C921BB"/>
    <w:rsid w:val="00C93FBC"/>
    <w:rsid w:val="00D75E37"/>
    <w:rsid w:val="00E549AC"/>
    <w:rsid w:val="00F913C2"/>
    <w:rsid w:val="00FB3A0E"/>
    <w:rsid w:val="00FF42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D58"/>
  </w:style>
  <w:style w:type="paragraph" w:styleId="Heading1">
    <w:name w:val="heading 1"/>
    <w:basedOn w:val="Normal"/>
    <w:next w:val="Normal"/>
    <w:link w:val="Heading1Char"/>
    <w:uiPriority w:val="9"/>
    <w:qFormat/>
    <w:rsid w:val="00FF42B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B4D"/>
    <w:pPr>
      <w:tabs>
        <w:tab w:val="center" w:pos="4680"/>
        <w:tab w:val="right" w:pos="9360"/>
      </w:tabs>
      <w:spacing w:line="240" w:lineRule="auto"/>
    </w:pPr>
  </w:style>
  <w:style w:type="character" w:customStyle="1" w:styleId="HeaderChar">
    <w:name w:val="Header Char"/>
    <w:basedOn w:val="DefaultParagraphFont"/>
    <w:link w:val="Header"/>
    <w:uiPriority w:val="99"/>
    <w:rsid w:val="00475B4D"/>
  </w:style>
  <w:style w:type="paragraph" w:styleId="Footer">
    <w:name w:val="footer"/>
    <w:basedOn w:val="Normal"/>
    <w:link w:val="FooterChar"/>
    <w:uiPriority w:val="99"/>
    <w:unhideWhenUsed/>
    <w:rsid w:val="00475B4D"/>
    <w:pPr>
      <w:tabs>
        <w:tab w:val="center" w:pos="4680"/>
        <w:tab w:val="right" w:pos="9360"/>
      </w:tabs>
      <w:spacing w:line="240" w:lineRule="auto"/>
    </w:pPr>
  </w:style>
  <w:style w:type="character" w:customStyle="1" w:styleId="FooterChar">
    <w:name w:val="Footer Char"/>
    <w:basedOn w:val="DefaultParagraphFont"/>
    <w:link w:val="Footer"/>
    <w:uiPriority w:val="99"/>
    <w:rsid w:val="00475B4D"/>
  </w:style>
  <w:style w:type="character" w:customStyle="1" w:styleId="Heading1Char">
    <w:name w:val="Heading 1 Char"/>
    <w:basedOn w:val="DefaultParagraphFont"/>
    <w:link w:val="Heading1"/>
    <w:uiPriority w:val="9"/>
    <w:rsid w:val="00FF42B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F42BE"/>
    <w:pPr>
      <w:spacing w:line="259" w:lineRule="auto"/>
      <w:outlineLvl w:val="9"/>
    </w:pPr>
  </w:style>
  <w:style w:type="paragraph" w:styleId="TOC1">
    <w:name w:val="toc 1"/>
    <w:basedOn w:val="Normal"/>
    <w:next w:val="Normal"/>
    <w:autoRedefine/>
    <w:uiPriority w:val="39"/>
    <w:unhideWhenUsed/>
    <w:rsid w:val="00FF42BE"/>
    <w:pPr>
      <w:spacing w:after="100"/>
    </w:pPr>
  </w:style>
  <w:style w:type="character" w:styleId="Hyperlink">
    <w:name w:val="Hyperlink"/>
    <w:basedOn w:val="DefaultParagraphFont"/>
    <w:uiPriority w:val="99"/>
    <w:unhideWhenUsed/>
    <w:rsid w:val="00FF42BE"/>
    <w:rPr>
      <w:color w:val="0563C1" w:themeColor="hyperlink"/>
      <w:u w:val="single"/>
    </w:rPr>
  </w:style>
  <w:style w:type="paragraph" w:styleId="BalloonText">
    <w:name w:val="Balloon Text"/>
    <w:basedOn w:val="Normal"/>
    <w:link w:val="BalloonTextChar"/>
    <w:uiPriority w:val="99"/>
    <w:semiHidden/>
    <w:unhideWhenUsed/>
    <w:rsid w:val="00B96A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A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5B34E-9546-48DD-B36E-9443705FA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9</Pages>
  <Words>1557</Words>
  <Characters>8877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ANTONY BJ</cp:lastModifiedBy>
  <cp:revision>2</cp:revision>
  <dcterms:created xsi:type="dcterms:W3CDTF">2019-09-23T08:38:00Z</dcterms:created>
  <dcterms:modified xsi:type="dcterms:W3CDTF">2019-09-25T04:45:00Z</dcterms:modified>
</cp:coreProperties>
</file>